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71" w:rsidRPr="00EE75DE" w:rsidRDefault="00710671" w:rsidP="00710671">
      <w:pPr>
        <w:rPr>
          <w:b/>
          <w:sz w:val="24"/>
          <w:szCs w:val="24"/>
        </w:rPr>
      </w:pPr>
      <w:r w:rsidRPr="00EE75DE">
        <w:rPr>
          <w:b/>
          <w:sz w:val="24"/>
          <w:szCs w:val="24"/>
        </w:rPr>
        <w:t>Aumento degli affitti e dei prezzi delle case per mq negli anni 1999-2004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851"/>
        <w:gridCol w:w="1559"/>
        <w:gridCol w:w="1417"/>
        <w:gridCol w:w="993"/>
      </w:tblGrid>
      <w:tr w:rsidR="00710671" w:rsidTr="00710671">
        <w:tc>
          <w:tcPr>
            <w:tcW w:w="1668" w:type="dxa"/>
            <w:vMerge w:val="restart"/>
          </w:tcPr>
          <w:p w:rsidR="00710671" w:rsidRPr="00710671" w:rsidRDefault="00710671" w:rsidP="00710671">
            <w:pPr>
              <w:rPr>
                <w:b/>
              </w:rPr>
            </w:pPr>
            <w:r w:rsidRPr="00710671">
              <w:rPr>
                <w:b/>
              </w:rPr>
              <w:t>Città</w:t>
            </w:r>
          </w:p>
        </w:tc>
        <w:tc>
          <w:tcPr>
            <w:tcW w:w="3402" w:type="dxa"/>
            <w:gridSpan w:val="3"/>
          </w:tcPr>
          <w:p w:rsidR="00710671" w:rsidRPr="00710671" w:rsidRDefault="00710671" w:rsidP="00710671">
            <w:pPr>
              <w:spacing w:after="200" w:line="276" w:lineRule="auto"/>
              <w:rPr>
                <w:b/>
                <w:bCs/>
              </w:rPr>
            </w:pPr>
            <w:r w:rsidRPr="00710671">
              <w:rPr>
                <w:b/>
                <w:bCs/>
              </w:rPr>
              <w:t>Aumento affitti al mq</w:t>
            </w:r>
          </w:p>
        </w:tc>
        <w:tc>
          <w:tcPr>
            <w:tcW w:w="3969" w:type="dxa"/>
            <w:gridSpan w:val="3"/>
          </w:tcPr>
          <w:p w:rsidR="00710671" w:rsidRPr="00710671" w:rsidRDefault="00710671" w:rsidP="00710671">
            <w:pPr>
              <w:spacing w:after="200" w:line="276" w:lineRule="auto"/>
              <w:rPr>
                <w:b/>
                <w:bCs/>
              </w:rPr>
            </w:pPr>
            <w:r w:rsidRPr="00710671">
              <w:rPr>
                <w:b/>
                <w:bCs/>
              </w:rPr>
              <w:t>Aumento prezzi al mq</w:t>
            </w:r>
          </w:p>
        </w:tc>
      </w:tr>
      <w:tr w:rsidR="00710671" w:rsidTr="00710671">
        <w:tc>
          <w:tcPr>
            <w:tcW w:w="1668" w:type="dxa"/>
            <w:vMerge/>
          </w:tcPr>
          <w:p w:rsidR="00710671" w:rsidRDefault="00710671" w:rsidP="00710671"/>
        </w:tc>
        <w:tc>
          <w:tcPr>
            <w:tcW w:w="1275" w:type="dxa"/>
          </w:tcPr>
          <w:p w:rsidR="00710671" w:rsidRDefault="00710671" w:rsidP="00710671">
            <w:r w:rsidRPr="00710671">
              <w:rPr>
                <w:b/>
                <w:bCs/>
              </w:rPr>
              <w:t xml:space="preserve">Massimo </w:t>
            </w:r>
          </w:p>
        </w:tc>
        <w:tc>
          <w:tcPr>
            <w:tcW w:w="1276" w:type="dxa"/>
          </w:tcPr>
          <w:p w:rsidR="00710671" w:rsidRDefault="00710671" w:rsidP="00710671">
            <w:r w:rsidRPr="00710671">
              <w:rPr>
                <w:b/>
                <w:bCs/>
              </w:rPr>
              <w:t>Minimo</w:t>
            </w:r>
          </w:p>
        </w:tc>
        <w:tc>
          <w:tcPr>
            <w:tcW w:w="851" w:type="dxa"/>
          </w:tcPr>
          <w:p w:rsidR="00710671" w:rsidRDefault="00710671" w:rsidP="00710671">
            <w:r w:rsidRPr="00710671">
              <w:rPr>
                <w:b/>
                <w:bCs/>
              </w:rPr>
              <w:t>In %</w:t>
            </w:r>
          </w:p>
        </w:tc>
        <w:tc>
          <w:tcPr>
            <w:tcW w:w="1559" w:type="dxa"/>
          </w:tcPr>
          <w:p w:rsidR="00710671" w:rsidRDefault="00710671" w:rsidP="0052715F">
            <w:r w:rsidRPr="00710671">
              <w:rPr>
                <w:b/>
                <w:bCs/>
              </w:rPr>
              <w:t xml:space="preserve">Massimo </w:t>
            </w:r>
          </w:p>
        </w:tc>
        <w:tc>
          <w:tcPr>
            <w:tcW w:w="1417" w:type="dxa"/>
          </w:tcPr>
          <w:p w:rsidR="00710671" w:rsidRDefault="00710671" w:rsidP="0052715F">
            <w:r w:rsidRPr="00710671">
              <w:rPr>
                <w:b/>
                <w:bCs/>
              </w:rPr>
              <w:t>Minimo</w:t>
            </w:r>
          </w:p>
        </w:tc>
        <w:tc>
          <w:tcPr>
            <w:tcW w:w="993" w:type="dxa"/>
          </w:tcPr>
          <w:p w:rsidR="00710671" w:rsidRDefault="00710671" w:rsidP="0052715F">
            <w:r w:rsidRPr="00710671">
              <w:rPr>
                <w:b/>
                <w:bCs/>
              </w:rPr>
              <w:t>In %</w:t>
            </w:r>
          </w:p>
        </w:tc>
      </w:tr>
      <w:tr w:rsidR="00710671" w:rsidTr="00710671">
        <w:trPr>
          <w:trHeight w:val="379"/>
        </w:trPr>
        <w:tc>
          <w:tcPr>
            <w:tcW w:w="1668" w:type="dxa"/>
          </w:tcPr>
          <w:p w:rsidR="00710671" w:rsidRDefault="00710671" w:rsidP="00710671">
            <w:r>
              <w:t xml:space="preserve">Torino </w:t>
            </w:r>
          </w:p>
        </w:tc>
        <w:tc>
          <w:tcPr>
            <w:tcW w:w="1275" w:type="dxa"/>
          </w:tcPr>
          <w:p w:rsidR="00710671" w:rsidRDefault="00710671" w:rsidP="00710671">
            <w:r>
              <w:t>151</w:t>
            </w:r>
          </w:p>
        </w:tc>
        <w:tc>
          <w:tcPr>
            <w:tcW w:w="1276" w:type="dxa"/>
          </w:tcPr>
          <w:p w:rsidR="00710671" w:rsidRDefault="00710671" w:rsidP="00710671">
            <w:r>
              <w:t>80</w:t>
            </w:r>
          </w:p>
        </w:tc>
        <w:tc>
          <w:tcPr>
            <w:tcW w:w="851" w:type="dxa"/>
          </w:tcPr>
          <w:p w:rsidR="00710671" w:rsidRDefault="00710671" w:rsidP="00710671">
            <w:r w:rsidRPr="00710671">
              <w:t>56,8 %</w:t>
            </w:r>
          </w:p>
        </w:tc>
        <w:tc>
          <w:tcPr>
            <w:tcW w:w="1559" w:type="dxa"/>
          </w:tcPr>
          <w:p w:rsidR="00710671" w:rsidRDefault="00710671" w:rsidP="00710671">
            <w:r w:rsidRPr="00710671">
              <w:t>3.225</w:t>
            </w:r>
          </w:p>
        </w:tc>
        <w:tc>
          <w:tcPr>
            <w:tcW w:w="1417" w:type="dxa"/>
          </w:tcPr>
          <w:p w:rsidR="00710671" w:rsidRDefault="00710671" w:rsidP="00710671">
            <w:r w:rsidRPr="00710671">
              <w:t>1.665</w:t>
            </w:r>
          </w:p>
        </w:tc>
        <w:tc>
          <w:tcPr>
            <w:tcW w:w="993" w:type="dxa"/>
          </w:tcPr>
          <w:p w:rsidR="00710671" w:rsidRDefault="00710671" w:rsidP="00710671">
            <w:r w:rsidRPr="00710671">
              <w:t>65,7 %</w:t>
            </w:r>
          </w:p>
        </w:tc>
      </w:tr>
      <w:tr w:rsidR="00710671" w:rsidTr="005622D7">
        <w:trPr>
          <w:trHeight w:val="430"/>
        </w:trPr>
        <w:tc>
          <w:tcPr>
            <w:tcW w:w="1668" w:type="dxa"/>
          </w:tcPr>
          <w:p w:rsidR="00710671" w:rsidRDefault="00710671" w:rsidP="005622D7">
            <w:r>
              <w:t>Milano</w:t>
            </w:r>
          </w:p>
        </w:tc>
        <w:tc>
          <w:tcPr>
            <w:tcW w:w="1275" w:type="dxa"/>
          </w:tcPr>
          <w:p w:rsidR="00710671" w:rsidRDefault="00710671" w:rsidP="005622D7">
            <w:r w:rsidRPr="00710671">
              <w:t>351</w:t>
            </w:r>
          </w:p>
        </w:tc>
        <w:tc>
          <w:tcPr>
            <w:tcW w:w="1276" w:type="dxa"/>
          </w:tcPr>
          <w:p w:rsidR="00710671" w:rsidRDefault="00710671" w:rsidP="005622D7">
            <w:r w:rsidRPr="00710671">
              <w:t>166</w:t>
            </w:r>
          </w:p>
        </w:tc>
        <w:tc>
          <w:tcPr>
            <w:tcW w:w="851" w:type="dxa"/>
          </w:tcPr>
          <w:p w:rsidR="00710671" w:rsidRDefault="00710671" w:rsidP="005622D7">
            <w:r w:rsidRPr="00710671">
              <w:t>45,3 %</w:t>
            </w:r>
          </w:p>
        </w:tc>
        <w:tc>
          <w:tcPr>
            <w:tcW w:w="1559" w:type="dxa"/>
          </w:tcPr>
          <w:p w:rsidR="00710671" w:rsidRDefault="00710671" w:rsidP="005622D7">
            <w:r w:rsidRPr="00710671">
              <w:t>7.268</w:t>
            </w:r>
          </w:p>
        </w:tc>
        <w:tc>
          <w:tcPr>
            <w:tcW w:w="1417" w:type="dxa"/>
          </w:tcPr>
          <w:p w:rsidR="00710671" w:rsidRDefault="00710671" w:rsidP="005622D7">
            <w:r w:rsidRPr="00710671">
              <w:t>3.235</w:t>
            </w:r>
          </w:p>
        </w:tc>
        <w:tc>
          <w:tcPr>
            <w:tcW w:w="993" w:type="dxa"/>
          </w:tcPr>
          <w:p w:rsidR="00710671" w:rsidRPr="00710671" w:rsidRDefault="00710671" w:rsidP="005622D7">
            <w:r w:rsidRPr="00710671">
              <w:t>81,3 %</w:t>
            </w:r>
          </w:p>
          <w:p w:rsidR="00710671" w:rsidRDefault="00710671" w:rsidP="005622D7"/>
        </w:tc>
      </w:tr>
      <w:tr w:rsidR="00710671" w:rsidTr="005622D7">
        <w:tc>
          <w:tcPr>
            <w:tcW w:w="1668" w:type="dxa"/>
          </w:tcPr>
          <w:p w:rsidR="00710671" w:rsidRPr="00710671" w:rsidRDefault="00710671" w:rsidP="005622D7">
            <w:r w:rsidRPr="00710671">
              <w:t xml:space="preserve">Venezia  </w:t>
            </w:r>
          </w:p>
          <w:p w:rsidR="00710671" w:rsidRDefault="00710671" w:rsidP="005622D7"/>
        </w:tc>
        <w:tc>
          <w:tcPr>
            <w:tcW w:w="1275" w:type="dxa"/>
          </w:tcPr>
          <w:p w:rsidR="00710671" w:rsidRDefault="00710671" w:rsidP="005622D7">
            <w:r w:rsidRPr="00710671">
              <w:t>302</w:t>
            </w:r>
          </w:p>
        </w:tc>
        <w:tc>
          <w:tcPr>
            <w:tcW w:w="1276" w:type="dxa"/>
          </w:tcPr>
          <w:p w:rsidR="00710671" w:rsidRDefault="00710671" w:rsidP="005622D7">
            <w:r w:rsidRPr="00710671">
              <w:t>160</w:t>
            </w:r>
          </w:p>
        </w:tc>
        <w:tc>
          <w:tcPr>
            <w:tcW w:w="851" w:type="dxa"/>
          </w:tcPr>
          <w:p w:rsidR="00710671" w:rsidRDefault="00710671" w:rsidP="005622D7">
            <w:r w:rsidRPr="00710671">
              <w:t>55,7 %</w:t>
            </w:r>
          </w:p>
        </w:tc>
        <w:tc>
          <w:tcPr>
            <w:tcW w:w="1559" w:type="dxa"/>
          </w:tcPr>
          <w:p w:rsidR="00710671" w:rsidRDefault="00710671" w:rsidP="005622D7">
            <w:r w:rsidRPr="00710671">
              <w:t>6.535</w:t>
            </w:r>
          </w:p>
        </w:tc>
        <w:tc>
          <w:tcPr>
            <w:tcW w:w="1417" w:type="dxa"/>
          </w:tcPr>
          <w:p w:rsidR="00710671" w:rsidRDefault="00710671" w:rsidP="005622D7">
            <w:r w:rsidRPr="00710671">
              <w:t>3.418</w:t>
            </w:r>
          </w:p>
        </w:tc>
        <w:tc>
          <w:tcPr>
            <w:tcW w:w="993" w:type="dxa"/>
          </w:tcPr>
          <w:p w:rsidR="00710671" w:rsidRDefault="00710671" w:rsidP="005622D7">
            <w:r w:rsidRPr="00710671">
              <w:t>48,1 %</w:t>
            </w:r>
          </w:p>
        </w:tc>
      </w:tr>
      <w:tr w:rsidR="00710671" w:rsidTr="00710671">
        <w:tc>
          <w:tcPr>
            <w:tcW w:w="1668" w:type="dxa"/>
          </w:tcPr>
          <w:p w:rsidR="00710671" w:rsidRDefault="00710671" w:rsidP="00710671">
            <w:pPr>
              <w:spacing w:after="200" w:line="276" w:lineRule="auto"/>
            </w:pPr>
            <w:r w:rsidRPr="00710671">
              <w:t xml:space="preserve">Genova </w:t>
            </w:r>
          </w:p>
        </w:tc>
        <w:tc>
          <w:tcPr>
            <w:tcW w:w="1275" w:type="dxa"/>
          </w:tcPr>
          <w:p w:rsidR="00710671" w:rsidRDefault="00710671" w:rsidP="00710671">
            <w:r w:rsidRPr="00710671">
              <w:t>177</w:t>
            </w:r>
          </w:p>
        </w:tc>
        <w:tc>
          <w:tcPr>
            <w:tcW w:w="1276" w:type="dxa"/>
          </w:tcPr>
          <w:p w:rsidR="00710671" w:rsidRDefault="00710671" w:rsidP="00710671">
            <w:r w:rsidRPr="00710671">
              <w:t>84</w:t>
            </w:r>
          </w:p>
        </w:tc>
        <w:tc>
          <w:tcPr>
            <w:tcW w:w="851" w:type="dxa"/>
          </w:tcPr>
          <w:p w:rsidR="00710671" w:rsidRDefault="00710671" w:rsidP="00710671">
            <w:r w:rsidRPr="00710671">
              <w:t>44,9 %</w:t>
            </w:r>
          </w:p>
        </w:tc>
        <w:tc>
          <w:tcPr>
            <w:tcW w:w="1559" w:type="dxa"/>
          </w:tcPr>
          <w:p w:rsidR="00710671" w:rsidRDefault="00710671" w:rsidP="00710671">
            <w:r w:rsidRPr="00710671">
              <w:t>3.767</w:t>
            </w:r>
          </w:p>
        </w:tc>
        <w:tc>
          <w:tcPr>
            <w:tcW w:w="1417" w:type="dxa"/>
          </w:tcPr>
          <w:p w:rsidR="00710671" w:rsidRDefault="00710671" w:rsidP="00710671">
            <w:r w:rsidRPr="00710671">
              <w:t>1.473</w:t>
            </w:r>
          </w:p>
        </w:tc>
        <w:tc>
          <w:tcPr>
            <w:tcW w:w="993" w:type="dxa"/>
          </w:tcPr>
          <w:p w:rsidR="00710671" w:rsidRDefault="00710671" w:rsidP="00710671">
            <w:r w:rsidRPr="00710671">
              <w:t>48,2 %</w:t>
            </w:r>
          </w:p>
        </w:tc>
      </w:tr>
      <w:tr w:rsidR="00710671" w:rsidTr="00710671">
        <w:tc>
          <w:tcPr>
            <w:tcW w:w="1668" w:type="dxa"/>
          </w:tcPr>
          <w:p w:rsidR="00710671" w:rsidRDefault="00710671" w:rsidP="00710671">
            <w:pPr>
              <w:spacing w:after="200" w:line="276" w:lineRule="auto"/>
            </w:pPr>
            <w:r w:rsidRPr="00710671">
              <w:t xml:space="preserve">Bologna </w:t>
            </w:r>
          </w:p>
        </w:tc>
        <w:tc>
          <w:tcPr>
            <w:tcW w:w="1275" w:type="dxa"/>
          </w:tcPr>
          <w:p w:rsidR="00710671" w:rsidRDefault="00710671" w:rsidP="00710671">
            <w:r w:rsidRPr="00710671">
              <w:t>185</w:t>
            </w:r>
          </w:p>
        </w:tc>
        <w:tc>
          <w:tcPr>
            <w:tcW w:w="1276" w:type="dxa"/>
          </w:tcPr>
          <w:p w:rsidR="00710671" w:rsidRDefault="00710671" w:rsidP="00710671">
            <w:r w:rsidRPr="00710671">
              <w:t>114</w:t>
            </w:r>
          </w:p>
        </w:tc>
        <w:tc>
          <w:tcPr>
            <w:tcW w:w="851" w:type="dxa"/>
          </w:tcPr>
          <w:p w:rsidR="00710671" w:rsidRDefault="00710671" w:rsidP="00710671">
            <w:r w:rsidRPr="00710671">
              <w:t>58,6 %</w:t>
            </w:r>
          </w:p>
        </w:tc>
        <w:tc>
          <w:tcPr>
            <w:tcW w:w="1559" w:type="dxa"/>
          </w:tcPr>
          <w:p w:rsidR="00710671" w:rsidRDefault="00710671" w:rsidP="00710671">
            <w:r w:rsidRPr="00710671">
              <w:t>3.923</w:t>
            </w:r>
          </w:p>
        </w:tc>
        <w:tc>
          <w:tcPr>
            <w:tcW w:w="1417" w:type="dxa"/>
          </w:tcPr>
          <w:p w:rsidR="00710671" w:rsidRDefault="00710671" w:rsidP="00710671">
            <w:r w:rsidRPr="00710671">
              <w:t>2.445</w:t>
            </w:r>
          </w:p>
        </w:tc>
        <w:tc>
          <w:tcPr>
            <w:tcW w:w="993" w:type="dxa"/>
          </w:tcPr>
          <w:p w:rsidR="00710671" w:rsidRDefault="00710671" w:rsidP="00EE75DE">
            <w:r w:rsidRPr="00710671">
              <w:t>63,9 %</w:t>
            </w:r>
          </w:p>
        </w:tc>
      </w:tr>
      <w:tr w:rsidR="00710671" w:rsidTr="00710671">
        <w:tc>
          <w:tcPr>
            <w:tcW w:w="1668" w:type="dxa"/>
          </w:tcPr>
          <w:p w:rsidR="00710671" w:rsidRDefault="00EE75DE" w:rsidP="00710671">
            <w:r w:rsidRPr="00710671">
              <w:t>Firenze</w:t>
            </w:r>
          </w:p>
        </w:tc>
        <w:tc>
          <w:tcPr>
            <w:tcW w:w="1275" w:type="dxa"/>
          </w:tcPr>
          <w:p w:rsidR="00710671" w:rsidRDefault="00EE75DE" w:rsidP="00710671">
            <w:r w:rsidRPr="00710671">
              <w:t>268</w:t>
            </w:r>
          </w:p>
        </w:tc>
        <w:tc>
          <w:tcPr>
            <w:tcW w:w="1276" w:type="dxa"/>
          </w:tcPr>
          <w:p w:rsidR="00710671" w:rsidRDefault="00EE75DE" w:rsidP="00710671">
            <w:r w:rsidRPr="00710671">
              <w:t>155</w:t>
            </w:r>
          </w:p>
        </w:tc>
        <w:tc>
          <w:tcPr>
            <w:tcW w:w="851" w:type="dxa"/>
          </w:tcPr>
          <w:p w:rsidR="00710671" w:rsidRDefault="00EE75DE" w:rsidP="00710671">
            <w:r w:rsidRPr="00710671">
              <w:t>43,1 %</w:t>
            </w:r>
          </w:p>
        </w:tc>
        <w:tc>
          <w:tcPr>
            <w:tcW w:w="1559" w:type="dxa"/>
          </w:tcPr>
          <w:p w:rsidR="00710671" w:rsidRDefault="00EE75DE" w:rsidP="00710671">
            <w:r w:rsidRPr="00710671">
              <w:t>5.442</w:t>
            </w:r>
          </w:p>
        </w:tc>
        <w:tc>
          <w:tcPr>
            <w:tcW w:w="1417" w:type="dxa"/>
          </w:tcPr>
          <w:p w:rsidR="00710671" w:rsidRDefault="00EE75DE" w:rsidP="00710671">
            <w:r w:rsidRPr="00710671">
              <w:t>2.819</w:t>
            </w:r>
          </w:p>
        </w:tc>
        <w:tc>
          <w:tcPr>
            <w:tcW w:w="993" w:type="dxa"/>
          </w:tcPr>
          <w:p w:rsidR="00EE75DE" w:rsidRPr="00710671" w:rsidRDefault="00EE75DE" w:rsidP="00EE75DE">
            <w:r w:rsidRPr="00710671">
              <w:t>77,3 %</w:t>
            </w:r>
          </w:p>
          <w:p w:rsidR="00710671" w:rsidRDefault="00710671" w:rsidP="00EE75DE"/>
        </w:tc>
      </w:tr>
      <w:tr w:rsidR="00710671" w:rsidTr="00710671">
        <w:tc>
          <w:tcPr>
            <w:tcW w:w="1668" w:type="dxa"/>
          </w:tcPr>
          <w:p w:rsidR="00EE75DE" w:rsidRPr="00710671" w:rsidRDefault="00EE75DE" w:rsidP="00EE75DE">
            <w:r w:rsidRPr="00710671">
              <w:t xml:space="preserve">Roma   </w:t>
            </w:r>
          </w:p>
          <w:p w:rsidR="00710671" w:rsidRDefault="00710671" w:rsidP="00710671"/>
        </w:tc>
        <w:tc>
          <w:tcPr>
            <w:tcW w:w="1275" w:type="dxa"/>
          </w:tcPr>
          <w:p w:rsidR="00710671" w:rsidRDefault="00EE75DE" w:rsidP="00710671">
            <w:r w:rsidRPr="00710671">
              <w:t>418</w:t>
            </w:r>
          </w:p>
        </w:tc>
        <w:tc>
          <w:tcPr>
            <w:tcW w:w="1276" w:type="dxa"/>
          </w:tcPr>
          <w:p w:rsidR="00710671" w:rsidRDefault="00EE75DE" w:rsidP="00710671">
            <w:r w:rsidRPr="00710671">
              <w:t>188</w:t>
            </w:r>
          </w:p>
        </w:tc>
        <w:tc>
          <w:tcPr>
            <w:tcW w:w="851" w:type="dxa"/>
          </w:tcPr>
          <w:p w:rsidR="00710671" w:rsidRDefault="00EE75DE" w:rsidP="00710671">
            <w:r w:rsidRPr="00710671">
              <w:t>85,2 %</w:t>
            </w:r>
          </w:p>
        </w:tc>
        <w:tc>
          <w:tcPr>
            <w:tcW w:w="1559" w:type="dxa"/>
          </w:tcPr>
          <w:p w:rsidR="00710671" w:rsidRDefault="00EE75DE" w:rsidP="00710671">
            <w:r w:rsidRPr="00710671">
              <w:t>6.569</w:t>
            </w:r>
          </w:p>
        </w:tc>
        <w:tc>
          <w:tcPr>
            <w:tcW w:w="1417" w:type="dxa"/>
          </w:tcPr>
          <w:p w:rsidR="00710671" w:rsidRDefault="00EE75DE" w:rsidP="00710671">
            <w:r w:rsidRPr="00710671">
              <w:t>2.731</w:t>
            </w:r>
          </w:p>
        </w:tc>
        <w:tc>
          <w:tcPr>
            <w:tcW w:w="993" w:type="dxa"/>
          </w:tcPr>
          <w:p w:rsidR="00710671" w:rsidRDefault="00EE75DE" w:rsidP="00710671">
            <w:r w:rsidRPr="00710671">
              <w:t>83,9 %</w:t>
            </w:r>
          </w:p>
        </w:tc>
      </w:tr>
      <w:tr w:rsidR="00710671" w:rsidTr="00710671">
        <w:tc>
          <w:tcPr>
            <w:tcW w:w="1668" w:type="dxa"/>
          </w:tcPr>
          <w:p w:rsidR="00EE75DE" w:rsidRPr="00710671" w:rsidRDefault="00EE75DE" w:rsidP="00EE75DE">
            <w:r w:rsidRPr="00710671">
              <w:t xml:space="preserve">Napoli  </w:t>
            </w:r>
          </w:p>
          <w:p w:rsidR="00710671" w:rsidRDefault="00710671" w:rsidP="00710671"/>
        </w:tc>
        <w:tc>
          <w:tcPr>
            <w:tcW w:w="1275" w:type="dxa"/>
          </w:tcPr>
          <w:p w:rsidR="00710671" w:rsidRDefault="00EE75DE" w:rsidP="00710671">
            <w:r w:rsidRPr="00710671">
              <w:t>274</w:t>
            </w:r>
          </w:p>
        </w:tc>
        <w:tc>
          <w:tcPr>
            <w:tcW w:w="1276" w:type="dxa"/>
          </w:tcPr>
          <w:p w:rsidR="00710671" w:rsidRDefault="00EE75DE" w:rsidP="00710671">
            <w:r w:rsidRPr="00710671">
              <w:t>114</w:t>
            </w:r>
          </w:p>
        </w:tc>
        <w:tc>
          <w:tcPr>
            <w:tcW w:w="851" w:type="dxa"/>
          </w:tcPr>
          <w:p w:rsidR="00710671" w:rsidRDefault="00EE75DE" w:rsidP="00710671">
            <w:r w:rsidRPr="00710671">
              <w:t>52,7 %</w:t>
            </w:r>
          </w:p>
        </w:tc>
        <w:tc>
          <w:tcPr>
            <w:tcW w:w="1559" w:type="dxa"/>
          </w:tcPr>
          <w:p w:rsidR="00710671" w:rsidRDefault="00EE75DE" w:rsidP="00710671">
            <w:r w:rsidRPr="00710671">
              <w:t>5.350</w:t>
            </w:r>
          </w:p>
        </w:tc>
        <w:tc>
          <w:tcPr>
            <w:tcW w:w="1417" w:type="dxa"/>
          </w:tcPr>
          <w:p w:rsidR="00710671" w:rsidRDefault="00EE75DE" w:rsidP="00710671">
            <w:r w:rsidRPr="00710671">
              <w:t>1.894</w:t>
            </w:r>
          </w:p>
        </w:tc>
        <w:tc>
          <w:tcPr>
            <w:tcW w:w="993" w:type="dxa"/>
          </w:tcPr>
          <w:p w:rsidR="00710671" w:rsidRDefault="00EE75DE" w:rsidP="00710671">
            <w:r w:rsidRPr="00710671">
              <w:t>47,5 %</w:t>
            </w:r>
          </w:p>
        </w:tc>
      </w:tr>
      <w:tr w:rsidR="00710671" w:rsidTr="00710671">
        <w:tc>
          <w:tcPr>
            <w:tcW w:w="1668" w:type="dxa"/>
          </w:tcPr>
          <w:p w:rsidR="00EE75DE" w:rsidRPr="00710671" w:rsidRDefault="00EE75DE" w:rsidP="00EE75DE">
            <w:r w:rsidRPr="00710671">
              <w:t xml:space="preserve">Cagliari  </w:t>
            </w:r>
          </w:p>
          <w:p w:rsidR="00710671" w:rsidRDefault="00710671" w:rsidP="00710671"/>
        </w:tc>
        <w:tc>
          <w:tcPr>
            <w:tcW w:w="1275" w:type="dxa"/>
          </w:tcPr>
          <w:p w:rsidR="00710671" w:rsidRDefault="00EE75DE" w:rsidP="00710671">
            <w:r w:rsidRPr="00710671">
              <w:t>140</w:t>
            </w:r>
          </w:p>
        </w:tc>
        <w:tc>
          <w:tcPr>
            <w:tcW w:w="1276" w:type="dxa"/>
          </w:tcPr>
          <w:p w:rsidR="00710671" w:rsidRDefault="00EE75DE" w:rsidP="00710671">
            <w:r w:rsidRPr="00710671">
              <w:t>78</w:t>
            </w:r>
          </w:p>
        </w:tc>
        <w:tc>
          <w:tcPr>
            <w:tcW w:w="851" w:type="dxa"/>
          </w:tcPr>
          <w:p w:rsidR="00710671" w:rsidRDefault="00EE75DE" w:rsidP="00710671">
            <w:r w:rsidRPr="00710671">
              <w:t>50,4 %</w:t>
            </w:r>
          </w:p>
        </w:tc>
        <w:tc>
          <w:tcPr>
            <w:tcW w:w="1559" w:type="dxa"/>
          </w:tcPr>
          <w:p w:rsidR="00710671" w:rsidRDefault="00EE75DE" w:rsidP="00710671">
            <w:r w:rsidRPr="00710671">
              <w:t>2.125</w:t>
            </w:r>
          </w:p>
        </w:tc>
        <w:tc>
          <w:tcPr>
            <w:tcW w:w="1417" w:type="dxa"/>
          </w:tcPr>
          <w:p w:rsidR="00710671" w:rsidRDefault="00EE75DE" w:rsidP="00710671">
            <w:r w:rsidRPr="00710671">
              <w:t>1.333</w:t>
            </w:r>
          </w:p>
        </w:tc>
        <w:tc>
          <w:tcPr>
            <w:tcW w:w="993" w:type="dxa"/>
          </w:tcPr>
          <w:p w:rsidR="00710671" w:rsidRDefault="00EE75DE" w:rsidP="00710671">
            <w:r w:rsidRPr="00710671">
              <w:t>59,2 %</w:t>
            </w:r>
          </w:p>
        </w:tc>
      </w:tr>
      <w:tr w:rsidR="00710671" w:rsidTr="00710671">
        <w:tc>
          <w:tcPr>
            <w:tcW w:w="1668" w:type="dxa"/>
          </w:tcPr>
          <w:p w:rsidR="00EE75DE" w:rsidRPr="00710671" w:rsidRDefault="00EE75DE" w:rsidP="00EE75DE">
            <w:r w:rsidRPr="00710671">
              <w:t xml:space="preserve">Bari  </w:t>
            </w:r>
          </w:p>
          <w:p w:rsidR="00710671" w:rsidRDefault="00710671" w:rsidP="00710671"/>
        </w:tc>
        <w:tc>
          <w:tcPr>
            <w:tcW w:w="1275" w:type="dxa"/>
          </w:tcPr>
          <w:p w:rsidR="00710671" w:rsidRDefault="00EE75DE" w:rsidP="00710671">
            <w:r w:rsidRPr="00710671">
              <w:t>147</w:t>
            </w:r>
          </w:p>
        </w:tc>
        <w:tc>
          <w:tcPr>
            <w:tcW w:w="1276" w:type="dxa"/>
          </w:tcPr>
          <w:p w:rsidR="00710671" w:rsidRDefault="00EE75DE" w:rsidP="00710671">
            <w:r w:rsidRPr="00710671">
              <w:t>92</w:t>
            </w:r>
          </w:p>
        </w:tc>
        <w:tc>
          <w:tcPr>
            <w:tcW w:w="851" w:type="dxa"/>
          </w:tcPr>
          <w:p w:rsidR="00710671" w:rsidRDefault="00EE75DE" w:rsidP="00710671">
            <w:r w:rsidRPr="00710671">
              <w:t>44,6 %</w:t>
            </w:r>
          </w:p>
        </w:tc>
        <w:tc>
          <w:tcPr>
            <w:tcW w:w="1559" w:type="dxa"/>
          </w:tcPr>
          <w:p w:rsidR="00710671" w:rsidRDefault="00EE75DE" w:rsidP="00710671">
            <w:r w:rsidRPr="00710671">
              <w:t>2.707</w:t>
            </w:r>
          </w:p>
        </w:tc>
        <w:tc>
          <w:tcPr>
            <w:tcW w:w="1417" w:type="dxa"/>
          </w:tcPr>
          <w:p w:rsidR="00710671" w:rsidRDefault="00EE75DE" w:rsidP="00710671">
            <w:r w:rsidRPr="00710671">
              <w:t>1.569</w:t>
            </w:r>
          </w:p>
        </w:tc>
        <w:tc>
          <w:tcPr>
            <w:tcW w:w="993" w:type="dxa"/>
          </w:tcPr>
          <w:p w:rsidR="00710671" w:rsidRDefault="00EE75DE" w:rsidP="00710671">
            <w:r w:rsidRPr="00710671">
              <w:t>44,8 %</w:t>
            </w:r>
          </w:p>
        </w:tc>
      </w:tr>
      <w:tr w:rsidR="00710671" w:rsidTr="00710671">
        <w:tc>
          <w:tcPr>
            <w:tcW w:w="1668" w:type="dxa"/>
          </w:tcPr>
          <w:p w:rsidR="00FF5CF8" w:rsidRPr="00710671" w:rsidRDefault="00FF5CF8" w:rsidP="00FF5CF8">
            <w:r w:rsidRPr="00710671">
              <w:t xml:space="preserve">Palermo  </w:t>
            </w:r>
          </w:p>
          <w:p w:rsidR="00710671" w:rsidRDefault="00710671" w:rsidP="00710671"/>
        </w:tc>
        <w:tc>
          <w:tcPr>
            <w:tcW w:w="1275" w:type="dxa"/>
          </w:tcPr>
          <w:p w:rsidR="00710671" w:rsidRDefault="00FF5CF8" w:rsidP="00710671">
            <w:r w:rsidRPr="00710671">
              <w:t>124</w:t>
            </w:r>
          </w:p>
        </w:tc>
        <w:tc>
          <w:tcPr>
            <w:tcW w:w="1276" w:type="dxa"/>
          </w:tcPr>
          <w:p w:rsidR="00710671" w:rsidRDefault="00FF5CF8" w:rsidP="00710671">
            <w:r w:rsidRPr="00710671">
              <w:t>71</w:t>
            </w:r>
          </w:p>
        </w:tc>
        <w:tc>
          <w:tcPr>
            <w:tcW w:w="851" w:type="dxa"/>
          </w:tcPr>
          <w:p w:rsidR="00710671" w:rsidRDefault="00FF5CF8" w:rsidP="00710671">
            <w:r w:rsidRPr="00710671">
              <w:t>42,8 %</w:t>
            </w:r>
          </w:p>
        </w:tc>
        <w:tc>
          <w:tcPr>
            <w:tcW w:w="1559" w:type="dxa"/>
          </w:tcPr>
          <w:p w:rsidR="00710671" w:rsidRDefault="00FF5CF8" w:rsidP="00710671">
            <w:r w:rsidRPr="00710671">
              <w:t>2.140</w:t>
            </w:r>
          </w:p>
        </w:tc>
        <w:tc>
          <w:tcPr>
            <w:tcW w:w="1417" w:type="dxa"/>
          </w:tcPr>
          <w:p w:rsidR="00710671" w:rsidRDefault="00FF5CF8" w:rsidP="00710671">
            <w:r w:rsidRPr="00710671">
              <w:t>1.193</w:t>
            </w:r>
          </w:p>
        </w:tc>
        <w:tc>
          <w:tcPr>
            <w:tcW w:w="993" w:type="dxa"/>
          </w:tcPr>
          <w:p w:rsidR="00710671" w:rsidRDefault="00FF5CF8" w:rsidP="00710671">
            <w:r w:rsidRPr="00710671">
              <w:t>61,4 %</w:t>
            </w:r>
          </w:p>
        </w:tc>
      </w:tr>
      <w:tr w:rsidR="00710671" w:rsidTr="00710671">
        <w:tc>
          <w:tcPr>
            <w:tcW w:w="1668" w:type="dxa"/>
          </w:tcPr>
          <w:p w:rsidR="00710671" w:rsidRDefault="00FF5CF8" w:rsidP="00710671">
            <w:r w:rsidRPr="00710671">
              <w:rPr>
                <w:b/>
                <w:bCs/>
                <w:i/>
                <w:iCs/>
              </w:rPr>
              <w:t>Media</w:t>
            </w:r>
          </w:p>
        </w:tc>
        <w:tc>
          <w:tcPr>
            <w:tcW w:w="1275" w:type="dxa"/>
          </w:tcPr>
          <w:p w:rsidR="00710671" w:rsidRDefault="00FF5CF8" w:rsidP="00710671">
            <w:r w:rsidRPr="00710671">
              <w:rPr>
                <w:b/>
                <w:bCs/>
                <w:i/>
                <w:iCs/>
              </w:rPr>
              <w:t>231</w:t>
            </w:r>
          </w:p>
        </w:tc>
        <w:tc>
          <w:tcPr>
            <w:tcW w:w="1276" w:type="dxa"/>
          </w:tcPr>
          <w:p w:rsidR="00710671" w:rsidRDefault="00FF5CF8" w:rsidP="00710671">
            <w:r w:rsidRPr="00710671">
              <w:rPr>
                <w:b/>
                <w:bCs/>
                <w:i/>
                <w:iCs/>
              </w:rPr>
              <w:t>118</w:t>
            </w:r>
          </w:p>
        </w:tc>
        <w:tc>
          <w:tcPr>
            <w:tcW w:w="851" w:type="dxa"/>
          </w:tcPr>
          <w:p w:rsidR="00710671" w:rsidRDefault="00FF5CF8" w:rsidP="00710671">
            <w:r w:rsidRPr="00710671">
              <w:rPr>
                <w:b/>
                <w:bCs/>
                <w:i/>
                <w:iCs/>
              </w:rPr>
              <w:t>52,7 %</w:t>
            </w:r>
          </w:p>
        </w:tc>
        <w:tc>
          <w:tcPr>
            <w:tcW w:w="1559" w:type="dxa"/>
          </w:tcPr>
          <w:p w:rsidR="00710671" w:rsidRDefault="00FF5CF8" w:rsidP="00710671">
            <w:r w:rsidRPr="00710671">
              <w:rPr>
                <w:b/>
                <w:bCs/>
                <w:i/>
                <w:iCs/>
              </w:rPr>
              <w:t>4213</w:t>
            </w:r>
          </w:p>
        </w:tc>
        <w:tc>
          <w:tcPr>
            <w:tcW w:w="1417" w:type="dxa"/>
          </w:tcPr>
          <w:p w:rsidR="00710671" w:rsidRDefault="00FF5CF8" w:rsidP="00710671">
            <w:r w:rsidRPr="00710671">
              <w:rPr>
                <w:b/>
                <w:bCs/>
                <w:i/>
                <w:iCs/>
              </w:rPr>
              <w:t>2161</w:t>
            </w:r>
          </w:p>
        </w:tc>
        <w:tc>
          <w:tcPr>
            <w:tcW w:w="993" w:type="dxa"/>
          </w:tcPr>
          <w:p w:rsidR="00FF5CF8" w:rsidRPr="00710671" w:rsidRDefault="00FF5CF8" w:rsidP="00FF5CF8">
            <w:pPr>
              <w:rPr>
                <w:b/>
                <w:bCs/>
                <w:i/>
                <w:iCs/>
              </w:rPr>
            </w:pPr>
            <w:bookmarkStart w:id="0" w:name="_GoBack"/>
            <w:r w:rsidRPr="00710671">
              <w:rPr>
                <w:b/>
                <w:bCs/>
                <w:i/>
                <w:iCs/>
              </w:rPr>
              <w:t>59,2 %</w:t>
            </w:r>
          </w:p>
          <w:bookmarkEnd w:id="0"/>
          <w:p w:rsidR="00710671" w:rsidRDefault="00710671" w:rsidP="00710671"/>
        </w:tc>
      </w:tr>
    </w:tbl>
    <w:p w:rsidR="003D08D0" w:rsidRDefault="00710671" w:rsidP="00EE75DE">
      <w:pPr>
        <w:spacing w:after="0" w:line="240" w:lineRule="auto"/>
      </w:pPr>
      <w:r w:rsidRPr="00710671">
        <w:t xml:space="preserve">Fonte: </w:t>
      </w:r>
      <w:r w:rsidRPr="00710671">
        <w:rPr>
          <w:i/>
          <w:iCs/>
        </w:rPr>
        <w:t>Elaborazione su dati ISTAT.</w:t>
      </w:r>
    </w:p>
    <w:sectPr w:rsidR="003D08D0" w:rsidSect="0071067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71"/>
    <w:rsid w:val="00056E1D"/>
    <w:rsid w:val="003603D2"/>
    <w:rsid w:val="003D08D0"/>
    <w:rsid w:val="005A145F"/>
    <w:rsid w:val="00710671"/>
    <w:rsid w:val="00923CEE"/>
    <w:rsid w:val="00C660E7"/>
    <w:rsid w:val="00CF602E"/>
    <w:rsid w:val="00DA7119"/>
    <w:rsid w:val="00E405EF"/>
    <w:rsid w:val="00E45243"/>
    <w:rsid w:val="00EE75DE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7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1"/>
    <w:qFormat/>
    <w:rsid w:val="00DA7119"/>
    <w:pPr>
      <w:keepNext w:val="0"/>
      <w:keepLines w:val="0"/>
      <w:spacing w:before="0" w:line="240" w:lineRule="auto"/>
      <w:textAlignment w:val="baseline"/>
    </w:pPr>
    <w:rPr>
      <w:rFonts w:ascii="Arial" w:eastAsia="Times New Roman" w:hAnsi="Arial" w:cs="Arial"/>
      <w:b w:val="0"/>
      <w:bCs w:val="0"/>
      <w:color w:val="333333"/>
      <w:kern w:val="36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7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7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7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1"/>
    <w:qFormat/>
    <w:rsid w:val="00DA7119"/>
    <w:pPr>
      <w:keepNext w:val="0"/>
      <w:keepLines w:val="0"/>
      <w:spacing w:before="0" w:line="240" w:lineRule="auto"/>
      <w:textAlignment w:val="baseline"/>
    </w:pPr>
    <w:rPr>
      <w:rFonts w:ascii="Arial" w:eastAsia="Times New Roman" w:hAnsi="Arial" w:cs="Arial"/>
      <w:b w:val="0"/>
      <w:bCs w:val="0"/>
      <w:color w:val="333333"/>
      <w:kern w:val="36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7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7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Donato</cp:lastModifiedBy>
  <cp:revision>2</cp:revision>
  <dcterms:created xsi:type="dcterms:W3CDTF">2015-01-21T22:24:00Z</dcterms:created>
  <dcterms:modified xsi:type="dcterms:W3CDTF">2015-01-21T22:39:00Z</dcterms:modified>
</cp:coreProperties>
</file>